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EDC" w:rsidRDefault="00341EDC" w:rsidP="00341EDC">
      <w:pPr>
        <w:pStyle w:val="Normal0"/>
        <w:spacing w:after="0" w:line="240" w:lineRule="auto"/>
        <w:jc w:val="center"/>
        <w:rPr>
          <w:rFonts w:ascii="Times New Roman" w:hAnsi="Times New Roman" w:cs="Times New Roman"/>
          <w:bCs/>
          <w:spacing w:val="-10"/>
          <w:w w:val="105"/>
          <w:sz w:val="24"/>
          <w:szCs w:val="24"/>
          <w:u w:val="single" w:color="18171C"/>
        </w:rPr>
      </w:pPr>
      <w:r>
        <w:rPr>
          <w:rFonts w:ascii="Times New Roman" w:hAnsi="Times New Roman" w:cs="Times New Roman"/>
          <w:bCs/>
          <w:w w:val="105"/>
          <w:sz w:val="24"/>
          <w:szCs w:val="24"/>
          <w:u w:val="single" w:color="18171C"/>
        </w:rPr>
        <w:t>ANEXO</w:t>
      </w:r>
      <w:r>
        <w:rPr>
          <w:rFonts w:ascii="Times New Roman" w:hAnsi="Times New Roman" w:cs="Times New Roman"/>
          <w:bCs/>
          <w:spacing w:val="-3"/>
          <w:w w:val="105"/>
          <w:sz w:val="24"/>
          <w:szCs w:val="24"/>
          <w:u w:val="single" w:color="18171C"/>
        </w:rPr>
        <w:t xml:space="preserve"> </w:t>
      </w:r>
      <w:r>
        <w:rPr>
          <w:rFonts w:ascii="Times New Roman" w:hAnsi="Times New Roman" w:cs="Times New Roman"/>
          <w:bCs/>
          <w:spacing w:val="-10"/>
          <w:w w:val="105"/>
          <w:sz w:val="24"/>
          <w:szCs w:val="24"/>
          <w:u w:val="single" w:color="18171C"/>
        </w:rPr>
        <w:t>I – TEMARIO</w:t>
      </w:r>
    </w:p>
    <w:p w:rsidR="00341EDC" w:rsidRDefault="00341EDC" w:rsidP="00341EDC">
      <w:pPr>
        <w:pStyle w:val="Normal0"/>
        <w:spacing w:after="0" w:line="240" w:lineRule="auto"/>
        <w:jc w:val="center"/>
        <w:rPr>
          <w:rFonts w:ascii="Times New Roman" w:hAnsi="Times New Roman" w:cs="Times New Roman"/>
          <w:bCs/>
          <w:color w:val="EE0000"/>
          <w:spacing w:val="-10"/>
          <w:w w:val="105"/>
          <w:sz w:val="24"/>
          <w:szCs w:val="24"/>
          <w:u w:val="single" w:color="18171C"/>
        </w:rPr>
      </w:pPr>
    </w:p>
    <w:p w:rsidR="00341EDC" w:rsidRDefault="00341EDC" w:rsidP="00341EDC">
      <w:pPr>
        <w:pStyle w:val="Normal0"/>
        <w:spacing w:after="0" w:line="240" w:lineRule="auto"/>
        <w:jc w:val="center"/>
        <w:rPr>
          <w:rFonts w:ascii="Times New Roman" w:hAnsi="Times New Roman" w:cs="Times New Roman"/>
          <w:bCs/>
          <w:sz w:val="24"/>
          <w:szCs w:val="24"/>
        </w:rPr>
      </w:pPr>
      <w:r>
        <w:rPr>
          <w:rFonts w:ascii="Times New Roman" w:hAnsi="Times New Roman" w:cs="Times New Roman"/>
          <w:bCs/>
          <w:spacing w:val="-10"/>
          <w:w w:val="105"/>
          <w:sz w:val="24"/>
          <w:szCs w:val="24"/>
          <w:u w:val="single" w:color="18171C"/>
        </w:rPr>
        <w:t>PARTE GENERAL</w:t>
      </w:r>
    </w:p>
    <w:p w:rsidR="00341EDC" w:rsidRDefault="00341EDC" w:rsidP="00341EDC">
      <w:pPr>
        <w:pStyle w:val="Normal0"/>
        <w:spacing w:after="0" w:line="240" w:lineRule="auto"/>
        <w:jc w:val="center"/>
        <w:rPr>
          <w:rFonts w:ascii="Times New Roman" w:hAnsi="Times New Roman" w:cs="Times New Roman"/>
          <w:bCs/>
          <w:color w:val="EE0000"/>
          <w:spacing w:val="-2"/>
          <w:sz w:val="24"/>
          <w:szCs w:val="24"/>
        </w:rPr>
      </w:pP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1.- </w:t>
      </w:r>
      <w:r>
        <w:rPr>
          <w:rFonts w:ascii="Times New Roman" w:hAnsi="Times New Roman" w:cs="Times New Roman"/>
          <w:bCs/>
          <w:sz w:val="24"/>
          <w:szCs w:val="24"/>
        </w:rPr>
        <w:tab/>
        <w:t xml:space="preserve">La Constitución Española de 1978. Proceso constituyente. Características generales y estructura. La reforma constitucional. Valores superiores y principios inspiradores en la Constitución Española de 1978.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2.- </w:t>
      </w:r>
      <w:r>
        <w:rPr>
          <w:rFonts w:ascii="Times New Roman" w:hAnsi="Times New Roman" w:cs="Times New Roman"/>
          <w:bCs/>
          <w:sz w:val="24"/>
          <w:szCs w:val="24"/>
        </w:rPr>
        <w:tab/>
        <w:t>Derechos fundamentales y libertades públicas en la Constitución española de 1978. Derechos y deberes. Garantías genéricas y específicas. Suspensión. El recurso de amparo</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3.- </w:t>
      </w:r>
      <w:r>
        <w:rPr>
          <w:rFonts w:ascii="Times New Roman" w:hAnsi="Times New Roman" w:cs="Times New Roman"/>
          <w:bCs/>
          <w:sz w:val="24"/>
          <w:szCs w:val="24"/>
        </w:rPr>
        <w:tab/>
        <w:t xml:space="preserve">La Corona en la Constitución de 1978. Sucesión. Regencia. Atribuciones de la Corona. El refrendo.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4.- </w:t>
      </w:r>
      <w:r>
        <w:rPr>
          <w:rFonts w:ascii="Times New Roman" w:hAnsi="Times New Roman" w:cs="Times New Roman"/>
          <w:bCs/>
          <w:sz w:val="24"/>
          <w:szCs w:val="24"/>
        </w:rPr>
        <w:tab/>
        <w:t>El Poder Judicial. Regulación constitucional de la justicia. La Ley Orgánica del Poder Judicial. La Ley de Demarcación y de Planta Judicial. El Consejo General del Poder Judicial: designación, organización y funciones. La organización de la Administración de Justicia en España: órdenes jurisdiccionales, clases de órganos jurisdiccionales y sus funciones. Conflictos de jurisdicción y de competencia. El ministerio Fiscal.</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5.- </w:t>
      </w:r>
      <w:r>
        <w:rPr>
          <w:rFonts w:ascii="Times New Roman" w:hAnsi="Times New Roman" w:cs="Times New Roman"/>
          <w:bCs/>
          <w:sz w:val="24"/>
          <w:szCs w:val="24"/>
        </w:rPr>
        <w:tab/>
        <w:t xml:space="preserve">Las Cortes Generales: El Congreso de los Diputados y el Senado. Composición y funciones. El funcionamiento de las Cámaras. El procedimiento legislativo. La función de control del Gobierno. Tribunal de Cuentas y Defensor del Pueblo.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6.-</w:t>
      </w:r>
      <w:r>
        <w:rPr>
          <w:rFonts w:ascii="Times New Roman" w:hAnsi="Times New Roman" w:cs="Times New Roman"/>
          <w:bCs/>
          <w:sz w:val="24"/>
          <w:szCs w:val="24"/>
        </w:rPr>
        <w:tab/>
        <w:t xml:space="preserve">El Gobierno y la Administración: composición, designación, cese y funciones. Relaciones Gobierno-Cortes. La Administración pública en la Constitución. Principios del artículo 103 CE.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7.- </w:t>
      </w:r>
      <w:r>
        <w:rPr>
          <w:rFonts w:ascii="Times New Roman" w:hAnsi="Times New Roman" w:cs="Times New Roman"/>
          <w:bCs/>
          <w:sz w:val="24"/>
          <w:szCs w:val="24"/>
        </w:rPr>
        <w:tab/>
        <w:t xml:space="preserve">El Tribunal Constitucional: organización y funciones. Los procedimientos de declaración de la inconstitucionalidad. Los conflictos constitucionales. Conflictos entre el Estado y las Comunidades Autónomas. Conflictos en defensa de la autonomía local. El control de constitucionalidad de los tratados.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w:t>
      </w:r>
      <w:r>
        <w:rPr>
          <w:rFonts w:ascii="Times New Roman" w:hAnsi="Times New Roman" w:cs="Times New Roman"/>
          <w:bCs/>
          <w:sz w:val="24"/>
          <w:szCs w:val="24"/>
        </w:rPr>
        <w:tab/>
        <w:t xml:space="preserve">La Administración Pública: Regulación constitucional. La Administración del Estado: órganos superiores y directivos. Órganos territoriales.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9.-</w:t>
      </w:r>
      <w:r>
        <w:rPr>
          <w:rFonts w:ascii="Times New Roman" w:hAnsi="Times New Roman" w:cs="Times New Roman"/>
          <w:bCs/>
          <w:sz w:val="24"/>
          <w:szCs w:val="24"/>
        </w:rPr>
        <w:tab/>
        <w:t xml:space="preserve">Organización y funcionamiento del sector público institucional estatal.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10.-</w:t>
      </w:r>
      <w:r>
        <w:rPr>
          <w:rFonts w:ascii="Times New Roman" w:hAnsi="Times New Roman" w:cs="Times New Roman"/>
          <w:bCs/>
          <w:sz w:val="24"/>
          <w:szCs w:val="24"/>
        </w:rPr>
        <w:tab/>
        <w:t>Organización territorial del Estado: principios generales. Comunidades Autónomas. Estatutos de Autonomía como norma institucional básica de la comunidad autónoma. Distribución de competencias Estado-CCAA. Relaciones y control.</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11.- </w:t>
      </w:r>
      <w:r>
        <w:rPr>
          <w:rFonts w:ascii="Times New Roman" w:hAnsi="Times New Roman" w:cs="Times New Roman"/>
          <w:bCs/>
          <w:sz w:val="24"/>
          <w:szCs w:val="24"/>
        </w:rPr>
        <w:tab/>
        <w:t>El Estatuto de Autonomía para Cantabria: Estructura y contenido. Referencia a las competencias autonómicas en materia de régimen local. Reforma del Estatuto de Autonomía de Cantabria.</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12.-</w:t>
      </w:r>
      <w:r>
        <w:rPr>
          <w:rFonts w:ascii="Times New Roman" w:hAnsi="Times New Roman" w:cs="Times New Roman"/>
          <w:bCs/>
          <w:sz w:val="24"/>
          <w:szCs w:val="24"/>
        </w:rPr>
        <w:tab/>
        <w:t xml:space="preserve">Las Instituciones autonómicas. Previsiones constitucionales. Organización institucional de la comunidad autónoma de Cantabria en el Estatuto de Autonomía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13.-</w:t>
      </w:r>
      <w:r>
        <w:rPr>
          <w:rFonts w:ascii="Times New Roman" w:hAnsi="Times New Roman" w:cs="Times New Roman"/>
          <w:bCs/>
          <w:sz w:val="24"/>
          <w:szCs w:val="24"/>
        </w:rPr>
        <w:tab/>
        <w:t xml:space="preserve">La Administración de la comunidad autónoma de Cantabria: organización territorial y entidades instrumentales.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14.-</w:t>
      </w:r>
      <w:r>
        <w:rPr>
          <w:rFonts w:ascii="Times New Roman" w:hAnsi="Times New Roman" w:cs="Times New Roman"/>
          <w:bCs/>
          <w:sz w:val="24"/>
          <w:szCs w:val="24"/>
        </w:rPr>
        <w:tab/>
        <w:t xml:space="preserve">Relaciones entre las Administraciones Públicas: Mecanismos de cooperación, coordinación y control. Conflictividad. </w:t>
      </w:r>
    </w:p>
    <w:p w:rsidR="00341EDC" w:rsidRDefault="00341EDC" w:rsidP="00341EDC">
      <w:pPr>
        <w:pStyle w:val="Normal0"/>
        <w:spacing w:after="0" w:line="240" w:lineRule="auto"/>
        <w:jc w:val="both"/>
        <w:rPr>
          <w:rFonts w:ascii="Times New Roman" w:hAnsi="Times New Roman" w:cs="Times New Roman"/>
          <w:bCs/>
          <w:spacing w:val="-2"/>
          <w:sz w:val="24"/>
          <w:szCs w:val="24"/>
        </w:rPr>
      </w:pPr>
      <w:r>
        <w:rPr>
          <w:rFonts w:ascii="Times New Roman" w:hAnsi="Times New Roman" w:cs="Times New Roman"/>
          <w:bCs/>
          <w:sz w:val="24"/>
          <w:szCs w:val="24"/>
        </w:rPr>
        <w:t>TEMA 15.-</w:t>
      </w:r>
      <w:r>
        <w:rPr>
          <w:rFonts w:ascii="Times New Roman" w:hAnsi="Times New Roman" w:cs="Times New Roman"/>
          <w:bCs/>
          <w:sz w:val="24"/>
          <w:szCs w:val="24"/>
        </w:rPr>
        <w:tab/>
        <w:t>De las Comunidades Europeas a la Unión Europea. Las Instituciones de la Unión Europea. El Derecho de la Unión Europea. Caracteres y tipología de fuentes. Relación entre el Derecho de la Unión Europea y el ordenamiento jurídico interno.</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16.-</w:t>
      </w:r>
      <w:r>
        <w:rPr>
          <w:rFonts w:ascii="Times New Roman" w:hAnsi="Times New Roman" w:cs="Times New Roman"/>
          <w:bCs/>
          <w:sz w:val="24"/>
          <w:szCs w:val="24"/>
        </w:rPr>
        <w:tab/>
        <w:t>Las fuentes del Derecho en el sistema jurídico español</w:t>
      </w:r>
      <w:r>
        <w:rPr>
          <w:rFonts w:ascii="Times New Roman" w:hAnsi="Times New Roman" w:cs="Times New Roman"/>
          <w:sz w:val="24"/>
          <w:szCs w:val="24"/>
        </w:rPr>
        <w:t xml:space="preserve">: jerarquía normativa. Principios generales del Derecho. La costumbre. La jurisprudencia como </w:t>
      </w:r>
      <w:r>
        <w:rPr>
          <w:rFonts w:ascii="Times New Roman" w:hAnsi="Times New Roman" w:cs="Times New Roman"/>
          <w:sz w:val="24"/>
          <w:szCs w:val="24"/>
        </w:rPr>
        <w:lastRenderedPageBreak/>
        <w:t>complemento del ordenamiento</w:t>
      </w:r>
      <w:r>
        <w:rPr>
          <w:rFonts w:ascii="Times New Roman" w:hAnsi="Times New Roman" w:cs="Times New Roman"/>
          <w:bCs/>
          <w:sz w:val="24"/>
          <w:szCs w:val="24"/>
        </w:rPr>
        <w:t>. Eficacia general y límites en el tiempo y el espacio. El deber jurídico de cumplimiento de la norma.</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17.- </w:t>
      </w:r>
      <w:r>
        <w:rPr>
          <w:rFonts w:ascii="Times New Roman" w:hAnsi="Times New Roman" w:cs="Times New Roman"/>
          <w:sz w:val="24"/>
          <w:szCs w:val="24"/>
        </w:rPr>
        <w:tab/>
        <w:t xml:space="preserve">La ley: concepto y clases. Ley orgánica y ley ordinaria. Normas del Gobierno con fuerza de ley. El decreto-ley y el decreto legislativo. Tratados internacionales.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18.- </w:t>
      </w:r>
      <w:r>
        <w:rPr>
          <w:rFonts w:ascii="Times New Roman" w:hAnsi="Times New Roman" w:cs="Times New Roman"/>
          <w:sz w:val="24"/>
          <w:szCs w:val="24"/>
        </w:rPr>
        <w:tab/>
        <w:t xml:space="preserve">El reglamento: concepto, clases y límites. Procedimiento de elaboración. Control de legalidad de los reglamentos. Distinción de figuras afines.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19.-</w:t>
      </w:r>
      <w:r>
        <w:rPr>
          <w:rFonts w:ascii="Times New Roman" w:hAnsi="Times New Roman" w:cs="Times New Roman"/>
          <w:bCs/>
          <w:sz w:val="24"/>
          <w:szCs w:val="24"/>
        </w:rPr>
        <w:tab/>
        <w:t>La Administración Pública y el Derecho: el principio de legalidad. Las potestades administrativas. La actividad discrecional de la Administración, límites y control: la desviación de poder.</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20.-</w:t>
      </w:r>
      <w:r>
        <w:rPr>
          <w:rFonts w:ascii="Times New Roman" w:hAnsi="Times New Roman" w:cs="Times New Roman"/>
          <w:bCs/>
          <w:sz w:val="24"/>
          <w:szCs w:val="24"/>
        </w:rPr>
        <w:tab/>
        <w:t xml:space="preserve">La potestad organizadora de la Administración. Creación, modificación y supresión de los entes y órganos administrativos. Clases de órganos. Especial referencia a órganos colegiados: </w:t>
      </w:r>
      <w:r>
        <w:rPr>
          <w:rFonts w:ascii="Times New Roman" w:hAnsi="Times New Roman" w:cs="Times New Roman"/>
          <w:sz w:val="24"/>
          <w:szCs w:val="24"/>
        </w:rPr>
        <w:t>régimen jurídico, funcionamiento, adopción de acuerdos, actas y certificaciones</w:t>
      </w:r>
      <w:r>
        <w:rPr>
          <w:rFonts w:ascii="Times New Roman" w:hAnsi="Times New Roman" w:cs="Times New Roman"/>
          <w:bCs/>
          <w:sz w:val="24"/>
          <w:szCs w:val="24"/>
        </w:rPr>
        <w:t>.</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21.-</w:t>
      </w:r>
      <w:r>
        <w:rPr>
          <w:rFonts w:ascii="Times New Roman" w:hAnsi="Times New Roman" w:cs="Times New Roman"/>
          <w:bCs/>
          <w:sz w:val="24"/>
          <w:szCs w:val="24"/>
        </w:rPr>
        <w:tab/>
        <w:t xml:space="preserve">Los principios de la organización administrativa: La competencia y sus técnicas de traslación. La jerarquía, la coordinación y el control. </w:t>
      </w:r>
      <w:r>
        <w:rPr>
          <w:rFonts w:ascii="Times New Roman" w:hAnsi="Times New Roman" w:cs="Times New Roman"/>
          <w:sz w:val="24"/>
          <w:szCs w:val="24"/>
        </w:rPr>
        <w:t>Delegación, avocación, encomienda de gestión y suplencia</w:t>
      </w:r>
      <w:r>
        <w:rPr>
          <w:rFonts w:ascii="Times New Roman" w:hAnsi="Times New Roman" w:cs="Times New Roman"/>
          <w:bCs/>
          <w:sz w:val="24"/>
          <w:szCs w:val="24"/>
        </w:rPr>
        <w:t xml:space="preserve"> Conflicto de atribuciones.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22.-</w:t>
      </w:r>
      <w:r>
        <w:rPr>
          <w:rFonts w:ascii="Times New Roman" w:hAnsi="Times New Roman" w:cs="Times New Roman"/>
          <w:bCs/>
          <w:sz w:val="24"/>
          <w:szCs w:val="24"/>
        </w:rPr>
        <w:tab/>
        <w:t xml:space="preserve">Las situaciones jurídicas: sus tipos. La relación jurídica. Sujetos, clases, estructura y contenido.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23.-</w:t>
      </w:r>
      <w:r>
        <w:rPr>
          <w:rFonts w:ascii="Times New Roman" w:hAnsi="Times New Roman" w:cs="Times New Roman"/>
          <w:bCs/>
          <w:sz w:val="24"/>
          <w:szCs w:val="24"/>
        </w:rPr>
        <w:tab/>
        <w:t xml:space="preserve">Los actos de la Administración: actos sometidos a derecho público y actos sometidos al derecho privado. El acto administrativo: concepto y requisitos. Eficacia de los actos administrativos. Motivación, notificación y publicación.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TEMA 24.-</w:t>
      </w:r>
      <w:r>
        <w:rPr>
          <w:rFonts w:ascii="Times New Roman" w:hAnsi="Times New Roman" w:cs="Times New Roman"/>
          <w:bCs/>
          <w:sz w:val="24"/>
          <w:szCs w:val="24"/>
        </w:rPr>
        <w:tab/>
      </w:r>
      <w:r>
        <w:rPr>
          <w:rFonts w:ascii="Times New Roman" w:hAnsi="Times New Roman" w:cs="Times New Roman"/>
          <w:sz w:val="24"/>
          <w:szCs w:val="24"/>
        </w:rPr>
        <w:t xml:space="preserve">Invalidez del acto administrativo: </w:t>
      </w:r>
      <w:r>
        <w:rPr>
          <w:rFonts w:ascii="Times New Roman" w:hAnsi="Times New Roman" w:cs="Times New Roman"/>
          <w:bCs/>
          <w:sz w:val="24"/>
          <w:szCs w:val="24"/>
        </w:rPr>
        <w:t xml:space="preserve">Nulidad de pleno derecho y anulabilidad. La revisión de oficio de los actos administrativos y sus límites. </w:t>
      </w:r>
      <w:r>
        <w:rPr>
          <w:rFonts w:ascii="Times New Roman" w:hAnsi="Times New Roman" w:cs="Times New Roman"/>
          <w:sz w:val="24"/>
          <w:szCs w:val="24"/>
        </w:rPr>
        <w:t>Conversión, conservación y convalidación. Revocación y rectificación de errores.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25.-</w:t>
      </w:r>
      <w:r>
        <w:rPr>
          <w:rFonts w:ascii="Times New Roman" w:hAnsi="Times New Roman" w:cs="Times New Roman"/>
          <w:bCs/>
          <w:sz w:val="24"/>
          <w:szCs w:val="24"/>
        </w:rPr>
        <w:tab/>
        <w:t>Las personas ante la actividad de la administración: derechos y obligaciones. El interesado: concepto, capacidad de obrar y representación. La identificación de los interesados y sus derechos en el procedimiento. Derecho y obligación de relacionarse electrónicamente con las Administraciones Públicas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26.-</w:t>
      </w:r>
      <w:r>
        <w:rPr>
          <w:rFonts w:ascii="Times New Roman" w:hAnsi="Times New Roman" w:cs="Times New Roman"/>
          <w:bCs/>
          <w:sz w:val="24"/>
          <w:szCs w:val="24"/>
        </w:rPr>
        <w:tab/>
        <w:t xml:space="preserve">El procedimiento administrativo y sus fases: Iniciación y Ordenación. La tramitación simplificada del procedimiento administrativo. Instrucción y Finalización.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27.- Terminación del procedimiento: resolución, desistimiento, renuncia, caducidad y terminación convencional. </w:t>
      </w:r>
      <w:r>
        <w:rPr>
          <w:rFonts w:ascii="Times New Roman" w:hAnsi="Times New Roman" w:cs="Times New Roman"/>
          <w:bCs/>
          <w:sz w:val="24"/>
          <w:szCs w:val="24"/>
        </w:rPr>
        <w:t>La obligación de la Administración Pública de resolver. Contenido de la resolución expresa: principios de congruencia y de no agravación de la situación inicial. La terminación convencional. Régimen jurídico del silencio administrativo</w:t>
      </w:r>
      <w:r>
        <w:rPr>
          <w:rFonts w:ascii="Times New Roman" w:hAnsi="Times New Roman" w:cs="Times New Roman"/>
          <w:sz w:val="24"/>
          <w:szCs w:val="24"/>
        </w:rPr>
        <w:t>.</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28.- La notificación: contenido, plazo y práctica en papel y a través de medios electrónicos. La notificación infructuosa. La publicación. </w:t>
      </w:r>
      <w:r>
        <w:rPr>
          <w:rFonts w:ascii="Times New Roman" w:hAnsi="Times New Roman" w:cs="Times New Roman"/>
          <w:sz w:val="24"/>
          <w:szCs w:val="24"/>
        </w:rPr>
        <w:t>Administración electrónica: sedes electrónicas, registros, archivo electrónico, interoperabilidad y seguridad. Notificaciones electrónicas</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29.- Ejecución forzosa de los actos administrativos: medios de ejecución y principios de utilización. Vía de hecho.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30.- Potestad sancionadora: concepto y principios. Especialidades del procedimiento sancionador.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31.- Responsabilidad patrimonial de las Administraciones públicas: requisitos, daños resarcibles, imputación y procedimiento. Responsabilidad de autoridades y personal.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32.-</w:t>
      </w:r>
      <w:r>
        <w:rPr>
          <w:rFonts w:ascii="Times New Roman" w:hAnsi="Times New Roman" w:cs="Times New Roman"/>
          <w:bCs/>
          <w:sz w:val="24"/>
          <w:szCs w:val="24"/>
        </w:rPr>
        <w:tab/>
        <w:t xml:space="preserve">Los recursos administrativos: principios generales. Recurso de alzada. Recurso potestativo de reposición. El recurso extraordinario de revisión.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TEMA 30.-</w:t>
      </w:r>
      <w:r>
        <w:rPr>
          <w:rFonts w:ascii="Times New Roman" w:hAnsi="Times New Roman" w:cs="Times New Roman"/>
          <w:bCs/>
          <w:sz w:val="24"/>
          <w:szCs w:val="24"/>
        </w:rPr>
        <w:tab/>
        <w:t xml:space="preserve">La Jurisdicción Contencioso-Administrativa: Concepto y naturaleza. Extensión y límites. El recurso contencioso-administrativo: Partes y objeto, </w:t>
      </w:r>
      <w:r>
        <w:rPr>
          <w:rFonts w:ascii="Times New Roman" w:hAnsi="Times New Roman" w:cs="Times New Roman"/>
          <w:sz w:val="24"/>
          <w:szCs w:val="24"/>
        </w:rPr>
        <w:t>Medidas cautelares</w:t>
      </w:r>
      <w:r>
        <w:rPr>
          <w:rFonts w:ascii="Times New Roman" w:hAnsi="Times New Roman" w:cs="Times New Roman"/>
          <w:bCs/>
          <w:sz w:val="24"/>
          <w:szCs w:val="24"/>
        </w:rPr>
        <w:t xml:space="preserve">. El recurso contencioso-administrativo. Recursos contra sentencias. Ejecución de sentencias.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31.-</w:t>
      </w:r>
      <w:r>
        <w:rPr>
          <w:rFonts w:ascii="Times New Roman" w:hAnsi="Times New Roman" w:cs="Times New Roman"/>
          <w:bCs/>
          <w:sz w:val="24"/>
          <w:szCs w:val="24"/>
        </w:rPr>
        <w:tab/>
        <w:t>Derecho de acceso a la información pública y transparencia. Límites y garantías. El principio de publicidad activa. Publicidad pasiva.</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32.- Empleo público local: clases de personal al servicio de las entidades locales. Acceso al empleo público local: principios de igualdad, mérito, capacidad y publicidad. Sistemas selectivos.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33.- Planificación y ordenación de recursos humanos: plantillas, RPT, oferta de empleo público, planes de empleo y otros instrumentos.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34.- Derechos, deberes e incompatibilidades del personal al servicio de las AAPP. Régimen de incompatibilidades. Situaciones administrativas. Jornada, permisos y vacaciones. Régimen disciplinario: infracciones, sanciones y procedimiento.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35.-</w:t>
      </w:r>
      <w:r>
        <w:rPr>
          <w:rFonts w:ascii="Times New Roman" w:hAnsi="Times New Roman" w:cs="Times New Roman"/>
          <w:bCs/>
          <w:sz w:val="24"/>
          <w:szCs w:val="24"/>
        </w:rPr>
        <w:tab/>
        <w:t>Protección de datos de carácter personal: origen y regulación normativa. Los principios de la protección de datos. Niveles de protección. Derechos de las personas titulares de los datos. Ficheros de titularidad pública. Inscripción y registro de ficheros y bases de datos. La Agencia Española de Protección de Datos: naturaleza jurídica y funciones. Procedimiento de tutela de los derechos de acceso, rectificación y cancelación ante la Agencia.</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36.-</w:t>
      </w:r>
      <w:r>
        <w:rPr>
          <w:rFonts w:ascii="Times New Roman" w:hAnsi="Times New Roman" w:cs="Times New Roman"/>
          <w:bCs/>
          <w:sz w:val="24"/>
          <w:szCs w:val="24"/>
        </w:rPr>
        <w:tab/>
        <w:t>Regulación normativa europea, española y cántabra sobre igualdad de oportunidades entre mujeres y hombres. Conceptos generales: discriminación directa e indirecta, acoso sexual y por razón de sexo. Acciones Positivas. Mainstreaming.</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37.- Ley de Cantabria 2/2007, de 27 de marzo, de Derechos y Servicios Sociales. La cartera de servicios del sistema público de servicios sociales.</w:t>
      </w:r>
    </w:p>
    <w:p w:rsidR="00341EDC" w:rsidRDefault="00341EDC" w:rsidP="00341EDC">
      <w:pPr>
        <w:pStyle w:val="Normal0"/>
        <w:spacing w:after="0" w:line="240" w:lineRule="auto"/>
        <w:jc w:val="both"/>
        <w:rPr>
          <w:rFonts w:ascii="Times New Roman" w:hAnsi="Times New Roman" w:cs="Times New Roman"/>
          <w:bCs/>
          <w:sz w:val="24"/>
          <w:szCs w:val="24"/>
        </w:rPr>
      </w:pPr>
    </w:p>
    <w:p w:rsidR="00341EDC" w:rsidRDefault="00341EDC" w:rsidP="00341EDC">
      <w:pPr>
        <w:pStyle w:val="Normal0"/>
        <w:spacing w:after="0" w:line="240" w:lineRule="auto"/>
        <w:jc w:val="both"/>
        <w:rPr>
          <w:rFonts w:ascii="Times New Roman" w:hAnsi="Times New Roman" w:cs="Times New Roman"/>
          <w:bCs/>
          <w:color w:val="EE0000"/>
          <w:sz w:val="24"/>
          <w:szCs w:val="24"/>
        </w:rPr>
      </w:pPr>
    </w:p>
    <w:p w:rsidR="00341EDC" w:rsidRDefault="00341EDC" w:rsidP="00341EDC">
      <w:pPr>
        <w:pStyle w:val="Normal0"/>
        <w:spacing w:after="0" w:line="240" w:lineRule="auto"/>
        <w:jc w:val="center"/>
        <w:rPr>
          <w:rFonts w:ascii="Times New Roman" w:hAnsi="Times New Roman" w:cs="Times New Roman"/>
          <w:bCs/>
          <w:spacing w:val="-2"/>
          <w:sz w:val="24"/>
          <w:szCs w:val="24"/>
          <w:u w:val="single"/>
        </w:rPr>
      </w:pPr>
      <w:r>
        <w:rPr>
          <w:rFonts w:ascii="Times New Roman" w:hAnsi="Times New Roman" w:cs="Times New Roman"/>
          <w:bCs/>
          <w:spacing w:val="-2"/>
          <w:sz w:val="24"/>
          <w:szCs w:val="24"/>
          <w:u w:val="single"/>
        </w:rPr>
        <w:t xml:space="preserve">PARTE </w:t>
      </w:r>
      <w:proofErr w:type="gramStart"/>
      <w:r>
        <w:rPr>
          <w:rFonts w:ascii="Times New Roman" w:hAnsi="Times New Roman" w:cs="Times New Roman"/>
          <w:bCs/>
          <w:spacing w:val="-2"/>
          <w:sz w:val="24"/>
          <w:szCs w:val="24"/>
          <w:u w:val="single"/>
        </w:rPr>
        <w:t>ESPECIFICA</w:t>
      </w:r>
      <w:proofErr w:type="gramEnd"/>
    </w:p>
    <w:p w:rsidR="00341EDC" w:rsidRDefault="00341EDC" w:rsidP="00341EDC">
      <w:pPr>
        <w:pStyle w:val="Normal0"/>
        <w:spacing w:after="0" w:line="240" w:lineRule="auto"/>
        <w:jc w:val="center"/>
        <w:rPr>
          <w:rFonts w:ascii="Times New Roman" w:hAnsi="Times New Roman" w:cs="Times New Roman"/>
          <w:bCs/>
          <w:sz w:val="24"/>
          <w:szCs w:val="24"/>
        </w:rPr>
      </w:pPr>
    </w:p>
    <w:p w:rsidR="00341EDC" w:rsidRDefault="00341EDC" w:rsidP="00341EDC">
      <w:pPr>
        <w:pStyle w:val="Prrafodelista"/>
        <w:numPr>
          <w:ilvl w:val="0"/>
          <w:numId w:val="1"/>
        </w:numPr>
        <w:rPr>
          <w:rFonts w:ascii="Times New Roman" w:hAnsi="Times New Roman" w:cs="Times New Roman"/>
          <w:bCs/>
          <w:sz w:val="24"/>
          <w:szCs w:val="24"/>
        </w:rPr>
      </w:pPr>
      <w:r>
        <w:rPr>
          <w:rFonts w:ascii="Times New Roman" w:hAnsi="Times New Roman" w:cs="Times New Roman"/>
          <w:bCs/>
          <w:sz w:val="24"/>
          <w:szCs w:val="24"/>
        </w:rPr>
        <w:t>Administración Local</w:t>
      </w:r>
    </w:p>
    <w:p w:rsidR="00341EDC" w:rsidRDefault="00341EDC" w:rsidP="00341EDC">
      <w:pPr>
        <w:pStyle w:val="Normal0"/>
        <w:spacing w:after="0" w:line="240" w:lineRule="auto"/>
        <w:jc w:val="both"/>
        <w:rPr>
          <w:rFonts w:ascii="Times New Roman" w:hAnsi="Times New Roman" w:cs="Times New Roman"/>
          <w:bCs/>
          <w:color w:val="EE0000"/>
          <w:sz w:val="24"/>
          <w:szCs w:val="24"/>
        </w:rPr>
      </w:pP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38.-</w:t>
      </w:r>
      <w:r>
        <w:rPr>
          <w:rFonts w:ascii="Times New Roman" w:hAnsi="Times New Roman" w:cs="Times New Roman"/>
          <w:bCs/>
          <w:sz w:val="24"/>
          <w:szCs w:val="24"/>
        </w:rPr>
        <w:tab/>
        <w:t xml:space="preserve">El régimen local: significado y evolución histórica. La Administración Local en la Constitución y en los Estatutos de Autonomía. </w:t>
      </w:r>
      <w:r>
        <w:rPr>
          <w:rFonts w:ascii="Times New Roman" w:hAnsi="Times New Roman" w:cs="Times New Roman"/>
          <w:sz w:val="24"/>
          <w:szCs w:val="24"/>
        </w:rPr>
        <w:t xml:space="preserve">Normativa básica estatal y normativa autonómica. </w:t>
      </w:r>
      <w:r>
        <w:rPr>
          <w:rFonts w:ascii="Times New Roman" w:hAnsi="Times New Roman" w:cs="Times New Roman"/>
          <w:bCs/>
          <w:sz w:val="24"/>
          <w:szCs w:val="24"/>
        </w:rPr>
        <w:t>El principio de autonomía local: significado, contenido y límites. Control de legalidad.</w:t>
      </w:r>
      <w:r>
        <w:t xml:space="preserve">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39.-</w:t>
      </w:r>
      <w:r>
        <w:rPr>
          <w:rFonts w:ascii="Times New Roman" w:hAnsi="Times New Roman" w:cs="Times New Roman"/>
          <w:bCs/>
          <w:sz w:val="24"/>
          <w:szCs w:val="24"/>
        </w:rPr>
        <w:tab/>
        <w:t>La potestad normativa de las entidades locales: Reglamentos y Ordenanzas. Procedimiento de elaboración. El Reglamento orgánico. Los Bandos.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40.-</w:t>
      </w:r>
      <w:r>
        <w:rPr>
          <w:rFonts w:ascii="Times New Roman" w:hAnsi="Times New Roman" w:cs="Times New Roman"/>
          <w:bCs/>
          <w:sz w:val="24"/>
          <w:szCs w:val="24"/>
        </w:rPr>
        <w:tab/>
        <w:t>La provincia como entidad local. Organización y competencias. La cooperación municipal y la coordinación en la prestación de determinados servicios. Regímenes especiales. Las Islas: los Consejos y Cabildos Insulares. Entidades locales de ámbito inferior al municipio. Las comarcas. Las mancomunidades de municipios. Las áreas metropolitanas. Sociedades interadministrativas. Los consorcios: régimen jurídico.</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41.-</w:t>
      </w:r>
      <w:r>
        <w:rPr>
          <w:rFonts w:ascii="Times New Roman" w:hAnsi="Times New Roman" w:cs="Times New Roman"/>
          <w:bCs/>
          <w:sz w:val="24"/>
          <w:szCs w:val="24"/>
        </w:rPr>
        <w:tab/>
        <w:t xml:space="preserve">El municipio: concepto y elementos. El término municipal: el problema dele planta municipal. Alteraciones de términos municipales. Legislación básica y legislación autonómica. La población municipal. El padrón de habitantes. El estatuto de los vecinos. El empadronamiento municipal. Derechos de los extranjeros. La participación vecinal en la gestión municipal.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42.-</w:t>
      </w:r>
      <w:r>
        <w:rPr>
          <w:rFonts w:ascii="Times New Roman" w:hAnsi="Times New Roman" w:cs="Times New Roman"/>
          <w:bCs/>
          <w:sz w:val="24"/>
          <w:szCs w:val="24"/>
        </w:rPr>
        <w:tab/>
        <w:t xml:space="preserve">Las competencias municipales: sistema de determinación. Competencias propias, delegadas y competencias distintas de las propias. La sostenibilidad financiera </w:t>
      </w:r>
      <w:r>
        <w:rPr>
          <w:rFonts w:ascii="Times New Roman" w:hAnsi="Times New Roman" w:cs="Times New Roman"/>
          <w:bCs/>
          <w:sz w:val="24"/>
          <w:szCs w:val="24"/>
        </w:rPr>
        <w:lastRenderedPageBreak/>
        <w:t xml:space="preserve">de la hacienda local como presupuesto del ejercicio de competencias. Los convenios sobre ejercicio de competencias y servicios municipales. Los servicios mínimos.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43.-</w:t>
      </w:r>
      <w:r>
        <w:rPr>
          <w:rFonts w:ascii="Times New Roman" w:hAnsi="Times New Roman" w:cs="Times New Roman"/>
          <w:bCs/>
          <w:sz w:val="24"/>
          <w:szCs w:val="24"/>
        </w:rPr>
        <w:tab/>
        <w:t xml:space="preserve">La organización municipal. Órganos necesarios: Alcalde, Tenientes de Alcalde, Pleno y Junta de Gobierno Local. Órganos complementarios: Comisiones Informativas y otros órganos. Estatuto de los miembros electos de las Corporaciones Locales. Los grupos políticos y los concejales no adscritos. La participación vecinal en la gestión municipal. Especialidades del régimen orgánico-funcional en los municipios de gran población.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44.- El concejo abierto. Otros regímenes especiales municipales.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TEMA 45.- Funcionamiento de los órganos colegiados locales: Régimen de sesiones y acuerdos de los órganos de gobierno local. Convocatoria, orden del día, sesiones, votaciones, actas, certificaciones y libros de resoluciones, comunicaciones, notificaciones y publicación de los acuerdos. El Registro de documentos. La utilización de medios telemáticos.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46.-</w:t>
      </w:r>
      <w:r>
        <w:rPr>
          <w:rFonts w:ascii="Times New Roman" w:hAnsi="Times New Roman" w:cs="Times New Roman"/>
          <w:bCs/>
          <w:sz w:val="24"/>
          <w:szCs w:val="24"/>
        </w:rPr>
        <w:tab/>
        <w:t>La potestad reglamentaria de las Entidades Locales. Ordenanzas y Reglamentos. Clases. Procedimiento de elaboración y aprobación. El Reglamento Orgánico. Los bandos. Publicación de las normas locales. Límites a la potestad reglamentaria local. Impugnación.</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47.-</w:t>
      </w:r>
      <w:r>
        <w:rPr>
          <w:rFonts w:ascii="Times New Roman" w:hAnsi="Times New Roman" w:cs="Times New Roman"/>
          <w:bCs/>
          <w:sz w:val="24"/>
          <w:szCs w:val="24"/>
        </w:rPr>
        <w:tab/>
      </w:r>
      <w:r>
        <w:rPr>
          <w:rFonts w:ascii="Times New Roman" w:hAnsi="Times New Roman" w:cs="Times New Roman"/>
          <w:sz w:val="24"/>
          <w:szCs w:val="24"/>
        </w:rPr>
        <w:t>Procedimiento administrativo en las entidades locales: especialidades. Abstención y recusación. Tramitación de expedientes</w:t>
      </w:r>
      <w:r>
        <w:rPr>
          <w:rFonts w:ascii="Times New Roman" w:hAnsi="Times New Roman" w:cs="Times New Roman"/>
          <w:bCs/>
          <w:sz w:val="24"/>
          <w:szCs w:val="24"/>
        </w:rPr>
        <w:t>. Impugnación de los actos y acuerdos locales y ejercicio de acciones. Recursos administrativos y jurisdiccionales contra los actos locales. La sustitución y disolución de corporaciones locales.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48.-</w:t>
      </w:r>
      <w:r>
        <w:rPr>
          <w:rFonts w:ascii="Times New Roman" w:hAnsi="Times New Roman" w:cs="Times New Roman"/>
          <w:bCs/>
          <w:sz w:val="24"/>
          <w:szCs w:val="24"/>
        </w:rPr>
        <w:tab/>
        <w:t xml:space="preserve">Las formas de actividad administrativa. El servicio público. Concepto. Evolución y crisis. Las formas de gestión de los servicios públicos. La remunicipalización de los servicios públicos. La iniciativa económica pública y los servicios públicos.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49.-</w:t>
      </w:r>
      <w:r>
        <w:rPr>
          <w:rFonts w:ascii="Times New Roman" w:hAnsi="Times New Roman" w:cs="Times New Roman"/>
          <w:bCs/>
          <w:sz w:val="24"/>
          <w:szCs w:val="24"/>
        </w:rPr>
        <w:tab/>
      </w:r>
      <w:r>
        <w:rPr>
          <w:rFonts w:ascii="Times New Roman" w:hAnsi="Times New Roman" w:cs="Times New Roman"/>
          <w:sz w:val="24"/>
          <w:szCs w:val="24"/>
        </w:rPr>
        <w:t xml:space="preserve">Actividad administrativa local de intervención: </w:t>
      </w:r>
      <w:r>
        <w:rPr>
          <w:rFonts w:ascii="Times New Roman" w:hAnsi="Times New Roman" w:cs="Times New Roman"/>
          <w:bCs/>
          <w:sz w:val="24"/>
          <w:szCs w:val="24"/>
        </w:rPr>
        <w:t>La actividad de policía: Técnicas de intervención administrativa en la actividad privada. Las licencias: naturaleza jurídica, clases y procedimiento de otorgamiento. La comunicación previa y la declaración responsable. Ordenes de ejecución.</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50.- Actividad de fomento en el ámbito local: subvenciones, convenios y otras técnicas.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51.-</w:t>
      </w:r>
      <w:r>
        <w:rPr>
          <w:rFonts w:ascii="Times New Roman" w:hAnsi="Times New Roman" w:cs="Times New Roman"/>
          <w:bCs/>
          <w:sz w:val="24"/>
          <w:szCs w:val="24"/>
        </w:rPr>
        <w:tab/>
        <w:t xml:space="preserve">El servicio público en las entidades locales. Concepto. Las formas de gestión de los servicios públicos locales. Las formas de gestión directa e indirecta. Modalidades previstas en la legislación de contratos del sector público. Especial referencia a la concesión de servicios públicos. Iniciativa económica local. Las empresas públicas locales. Los consorcios.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52.-</w:t>
      </w:r>
      <w:r>
        <w:rPr>
          <w:rFonts w:ascii="Times New Roman" w:hAnsi="Times New Roman" w:cs="Times New Roman"/>
          <w:bCs/>
          <w:sz w:val="24"/>
          <w:szCs w:val="24"/>
        </w:rPr>
        <w:tab/>
        <w:t xml:space="preserve">Actividad subvencional de la Administración I: concepto, naturaleza y clasificación de subvenciones. Normativa aplicable en las Entidades Locales. Contenido de las normas reguladoras. Procedimiento de concesión y gestión de subvenciones.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53.-</w:t>
      </w:r>
      <w:r>
        <w:rPr>
          <w:rFonts w:ascii="Times New Roman" w:hAnsi="Times New Roman" w:cs="Times New Roman"/>
          <w:bCs/>
          <w:sz w:val="24"/>
          <w:szCs w:val="24"/>
        </w:rPr>
        <w:tab/>
        <w:t xml:space="preserve">Actividad subvencional de la Administración II. Requisitos y obligaciones de las personas beneficiarias de subvenciones. Justificación y Reintegro. Control financiero. Régimen de infracciones y sanciones. Ordenanza general reguladora de las Subvenciones a conceder por el Ayuntamiento de Laredo: procedimiento de concesión de las subvenciones.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54.-</w:t>
      </w:r>
      <w:r>
        <w:rPr>
          <w:rFonts w:ascii="Times New Roman" w:hAnsi="Times New Roman" w:cs="Times New Roman"/>
          <w:bCs/>
          <w:sz w:val="24"/>
          <w:szCs w:val="24"/>
        </w:rPr>
        <w:tab/>
        <w:t xml:space="preserve">Los bienes de las Entidades Locales de Cantabria: clasificación. Alteración de la calificación jurídica. Adquisición, enajenación y cesión. Prerrogativas de las Entidades Locales respecto a sus bienes. Uso y aprovechamiento de los bienes de dominio público y comunales. Régimen de utilización de los bienes patrimoniales. </w:t>
      </w:r>
      <w:r>
        <w:rPr>
          <w:rFonts w:ascii="Times New Roman" w:hAnsi="Times New Roman" w:cs="Times New Roman"/>
          <w:sz w:val="24"/>
          <w:szCs w:val="24"/>
        </w:rPr>
        <w:t>Inventario. Bienes comunales.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TEMA 55.-</w:t>
      </w:r>
      <w:r>
        <w:rPr>
          <w:rFonts w:ascii="Times New Roman" w:hAnsi="Times New Roman" w:cs="Times New Roman"/>
          <w:bCs/>
          <w:sz w:val="24"/>
          <w:szCs w:val="24"/>
        </w:rPr>
        <w:tab/>
        <w:t xml:space="preserve">El patrimonio privado de las Administraciones Públicas, Régimen jurídico. Potestades de la Administración y régimen de adquisición, uso y enajenación. La cesión de bienes y derechos patrimoniales. </w:t>
      </w:r>
      <w:r>
        <w:rPr>
          <w:rFonts w:ascii="Times New Roman" w:hAnsi="Times New Roman" w:cs="Times New Roman"/>
          <w:sz w:val="24"/>
          <w:szCs w:val="24"/>
        </w:rPr>
        <w:t xml:space="preserve">Defensa de bienes y derechos de las entidades locales: investigación, deslinde, recuperación de oficio y desahucio administrativo.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56.-</w:t>
      </w:r>
      <w:r>
        <w:rPr>
          <w:rFonts w:ascii="Times New Roman" w:hAnsi="Times New Roman" w:cs="Times New Roman"/>
          <w:bCs/>
          <w:sz w:val="24"/>
          <w:szCs w:val="24"/>
        </w:rPr>
        <w:tab/>
        <w:t>La expropiación forzosa: sujetos, objeto y causa. El procedimiento general. Garantías jurisdiccionales. La reversión expropiatoria. Tramitación de urgencia. Procedimientos especiales.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57.-</w:t>
      </w:r>
      <w:r>
        <w:rPr>
          <w:rFonts w:ascii="Times New Roman" w:hAnsi="Times New Roman" w:cs="Times New Roman"/>
          <w:bCs/>
          <w:sz w:val="24"/>
          <w:szCs w:val="24"/>
        </w:rPr>
        <w:tab/>
        <w:t xml:space="preserve">La responsabilidad de la Administración Pública: caracteres. Los presupuestos de la responsabilidad. Daños resarcibles. La acción de responsabilidad. Principios del procedimiento administrativo en materia de responsabilidad. La responsabilidad patrimonial de autoridades y personal al servicio de las Administraciones Públicas.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58.-</w:t>
      </w:r>
      <w:r>
        <w:rPr>
          <w:rFonts w:ascii="Times New Roman" w:hAnsi="Times New Roman" w:cs="Times New Roman"/>
          <w:bCs/>
          <w:sz w:val="24"/>
          <w:szCs w:val="24"/>
        </w:rPr>
        <w:tab/>
        <w:t>La potestad sancionadora: concepto y significado. Principios del ejercicio de la potestad sancionadora. Especialidades del procedimiento en materia sancionadora. Medidas sancionadoras administrativas. Especial referencia a la potestad sancionadora local.</w:t>
      </w:r>
    </w:p>
    <w:p w:rsidR="00341EDC" w:rsidRDefault="00341EDC" w:rsidP="00341EDC">
      <w:pPr>
        <w:pStyle w:val="Normal0"/>
        <w:spacing w:after="0" w:line="240" w:lineRule="auto"/>
        <w:jc w:val="both"/>
        <w:rPr>
          <w:rFonts w:ascii="Times New Roman" w:hAnsi="Times New Roman" w:cs="Times New Roman"/>
          <w:b/>
          <w:bCs/>
          <w:sz w:val="24"/>
          <w:szCs w:val="24"/>
        </w:rPr>
      </w:pPr>
    </w:p>
    <w:p w:rsidR="00341EDC" w:rsidRDefault="00341EDC" w:rsidP="00341EDC">
      <w:pPr>
        <w:pStyle w:val="Norm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b) Contratación pública. </w:t>
      </w:r>
    </w:p>
    <w:p w:rsidR="00341EDC" w:rsidRDefault="00341EDC" w:rsidP="00341EDC">
      <w:pPr>
        <w:pStyle w:val="Normal0"/>
        <w:spacing w:after="0" w:line="240" w:lineRule="auto"/>
        <w:jc w:val="both"/>
        <w:rPr>
          <w:rFonts w:ascii="Times New Roman" w:hAnsi="Times New Roman" w:cs="Times New Roman"/>
          <w:bCs/>
          <w:color w:val="EE0000"/>
          <w:sz w:val="24"/>
          <w:szCs w:val="24"/>
        </w:rPr>
      </w:pP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59.-</w:t>
      </w:r>
      <w:r>
        <w:rPr>
          <w:rFonts w:ascii="Times New Roman" w:hAnsi="Times New Roman" w:cs="Times New Roman"/>
          <w:bCs/>
          <w:sz w:val="24"/>
          <w:szCs w:val="24"/>
        </w:rPr>
        <w:tab/>
        <w:t xml:space="preserve">Los contratos del sector público: objeto y ámbito de la Ley de Contratos del Sector Público. Tipos de contratos del Sector Público. Contratos sujetos a regulación armonizada. Régimen jurídico de los contratos administrativos y los de derecho privado; los actos separables.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60.-</w:t>
      </w:r>
      <w:r>
        <w:rPr>
          <w:rFonts w:ascii="Times New Roman" w:hAnsi="Times New Roman" w:cs="Times New Roman"/>
          <w:bCs/>
          <w:sz w:val="24"/>
          <w:szCs w:val="24"/>
        </w:rPr>
        <w:tab/>
        <w:t xml:space="preserve">Los principios generales de la contratación del sector público: racionalidad, libertad de pactos y contenido mínimo, perfección y forma, el régimen de invalidez de los contratos y el recurso especial en materia de contratación. </w:t>
      </w:r>
    </w:p>
    <w:p w:rsidR="00341EDC" w:rsidRDefault="00341EDC" w:rsidP="00341EDC">
      <w:pPr>
        <w:pStyle w:val="Normal0"/>
        <w:spacing w:after="0" w:line="240" w:lineRule="auto"/>
        <w:jc w:val="both"/>
        <w:rPr>
          <w:rFonts w:ascii="Times New Roman" w:hAnsi="Times New Roman" w:cs="Times New Roman"/>
          <w:bCs/>
          <w:color w:val="EE0000"/>
          <w:sz w:val="24"/>
          <w:szCs w:val="24"/>
        </w:rPr>
      </w:pPr>
      <w:r>
        <w:rPr>
          <w:rFonts w:ascii="Times New Roman" w:hAnsi="Times New Roman" w:cs="Times New Roman"/>
          <w:bCs/>
          <w:sz w:val="24"/>
          <w:szCs w:val="24"/>
        </w:rPr>
        <w:t>TEMA 61.-</w:t>
      </w:r>
      <w:r>
        <w:rPr>
          <w:rFonts w:ascii="Times New Roman" w:hAnsi="Times New Roman" w:cs="Times New Roman"/>
          <w:bCs/>
          <w:sz w:val="24"/>
          <w:szCs w:val="24"/>
        </w:rPr>
        <w:tab/>
      </w:r>
      <w:r>
        <w:rPr>
          <w:rFonts w:ascii="Times New Roman" w:hAnsi="Times New Roman" w:cs="Times New Roman"/>
          <w:sz w:val="24"/>
          <w:szCs w:val="24"/>
        </w:rPr>
        <w:t>Órgano de contratación en las entidades locales: competencias y atribuciones. Mesa de contratación: composición y funciones. Perfil del contratante y Plataforma de Contratación</w:t>
      </w:r>
      <w:r>
        <w:rPr>
          <w:rFonts w:ascii="Times New Roman" w:hAnsi="Times New Roman" w:cs="Times New Roman"/>
          <w:bCs/>
          <w:sz w:val="24"/>
          <w:szCs w:val="24"/>
        </w:rPr>
        <w:t>.</w:t>
      </w:r>
      <w:r>
        <w:rPr>
          <w:rFonts w:ascii="Times New Roman" w:hAnsi="Times New Roman" w:cs="Times New Roman"/>
          <w:bCs/>
          <w:color w:val="EE0000"/>
          <w:sz w:val="24"/>
          <w:szCs w:val="24"/>
        </w:rPr>
        <w:t xml:space="preserve">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62.- Expediente de contratación: actuaciones preparatorias, informe de necesidad e idoneidad, solvencia y criterios de adjudicación. Consultas preliminares del mercado.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63.- Pliegos: PCAP y PPT. Contenido mínimo y estructura. Informes preceptivos. Aprobación y publicidad.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64.- Procedimientos de adjudicación: abierto, restringido, negociado, diálogo competitivo y asociación para la innovación. Normas comunes.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65.- Criterios de adjudicación: mejor relación calidad-precio. Criterios automáticos y sujetos a juicio de valor. Ofertas anormalmente bajas.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66.- Capacidad y solvencia del empresario. Clasificación. Prohibiciones de contratar. Subcontratación.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67.- Perfección y formalización del contrato. Garantías. Responsable del contrato.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68.- Ejecución del contrato: obligaciones del contratista. Penalidades. Recepción y conformidad. Pago del precio.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69.- Modificación de los contratos: límites y procedimiento. Revisión de precios. Prórrogas y mantenimiento del equilibrio económico-financiero en concesiones.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70.- Cesión del contrato y subrogación. Sucesión empresarial y subrogación de personal en contratos de servicios: información a facilitar y responsabilidades.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TEMA 71.- Extinción del contrato: cumplimiento, resolución y desistimiento. Efectos e indemnizaciones.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72.- Recurso especial en materia de contratación: actos recurribles, órgano competente, procedimiento y efectos. Medidas cautelares. </w:t>
      </w:r>
    </w:p>
    <w:p w:rsidR="00341EDC" w:rsidRDefault="00341EDC" w:rsidP="00341EDC">
      <w:pPr>
        <w:pStyle w:val="Normal0"/>
        <w:spacing w:after="0" w:line="240" w:lineRule="auto"/>
        <w:jc w:val="both"/>
        <w:rPr>
          <w:rFonts w:ascii="Times New Roman" w:hAnsi="Times New Roman" w:cs="Times New Roman"/>
          <w:bCs/>
          <w:color w:val="EE0000"/>
          <w:sz w:val="24"/>
          <w:szCs w:val="24"/>
        </w:rPr>
      </w:pPr>
    </w:p>
    <w:p w:rsidR="00341EDC" w:rsidRDefault="00341EDC" w:rsidP="00341EDC">
      <w:pPr>
        <w:pStyle w:val="Norm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c) Personal de las administraciones públicas. </w:t>
      </w:r>
    </w:p>
    <w:p w:rsidR="00341EDC" w:rsidRDefault="00341EDC" w:rsidP="00341EDC">
      <w:pPr>
        <w:pStyle w:val="Normal0"/>
        <w:spacing w:after="0" w:line="240" w:lineRule="auto"/>
        <w:jc w:val="both"/>
        <w:rPr>
          <w:rFonts w:ascii="Times New Roman" w:hAnsi="Times New Roman" w:cs="Times New Roman"/>
          <w:bCs/>
          <w:sz w:val="24"/>
          <w:szCs w:val="24"/>
        </w:rPr>
      </w:pP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73.-</w:t>
      </w:r>
      <w:r>
        <w:rPr>
          <w:rFonts w:ascii="Times New Roman" w:hAnsi="Times New Roman" w:cs="Times New Roman"/>
          <w:bCs/>
          <w:sz w:val="24"/>
          <w:szCs w:val="24"/>
        </w:rPr>
        <w:tab/>
        <w:t xml:space="preserve">El personal al servicio de las entidades locales (I). Clases. Estructura. Adquisición y pérdida de la relación de servicio. Selección. Provisión de puestos de trabajo. Derechos y deberes de los empleados públicos Código de conducta. Régimen disciplinario de los empleados públicos.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74.-</w:t>
      </w:r>
      <w:r>
        <w:rPr>
          <w:rFonts w:ascii="Times New Roman" w:hAnsi="Times New Roman" w:cs="Times New Roman"/>
          <w:bCs/>
          <w:sz w:val="24"/>
          <w:szCs w:val="24"/>
        </w:rPr>
        <w:tab/>
        <w:t xml:space="preserve">El personal al servicio de las entidades locales (II). Régimen retributivo de los empleados públicos locales. Situaciones administrativas de los empleados públicos locales. La carrera administrativa.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75.-</w:t>
      </w:r>
      <w:r>
        <w:rPr>
          <w:rFonts w:ascii="Times New Roman" w:hAnsi="Times New Roman" w:cs="Times New Roman"/>
          <w:bCs/>
          <w:sz w:val="24"/>
          <w:szCs w:val="24"/>
        </w:rPr>
        <w:tab/>
        <w:t xml:space="preserve">El personal al servicio de las entidades locales (III). Incompatibilidades. Responsabilidad civil y penal de las autoridades y personal al servicio de las Administraciones Públicas.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76.-</w:t>
      </w:r>
      <w:r>
        <w:rPr>
          <w:rFonts w:ascii="Times New Roman" w:hAnsi="Times New Roman" w:cs="Times New Roman"/>
          <w:bCs/>
          <w:sz w:val="24"/>
          <w:szCs w:val="24"/>
        </w:rPr>
        <w:tab/>
        <w:t xml:space="preserve">El personal al servicio de las entidades locales (IV). El contrato de trabajo. Concepto. Naturaleza. Modalidades. Medidas de fomento del empleo. Sujetos. Elementos y eficacia del contrato de trabajo. Derechos y deberes laborales básicos.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77.-</w:t>
      </w:r>
      <w:r>
        <w:rPr>
          <w:rFonts w:ascii="Times New Roman" w:hAnsi="Times New Roman" w:cs="Times New Roman"/>
          <w:bCs/>
          <w:sz w:val="24"/>
          <w:szCs w:val="24"/>
        </w:rPr>
        <w:tab/>
        <w:t xml:space="preserve">La Ley de Prevención de Riesgos Laborales. Normativa de desarrollo. Los Delegados de Prevención. El Comité de Seguridad y Salud.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78.-</w:t>
      </w:r>
      <w:r>
        <w:rPr>
          <w:rFonts w:ascii="Times New Roman" w:hAnsi="Times New Roman" w:cs="Times New Roman"/>
          <w:bCs/>
          <w:sz w:val="24"/>
          <w:szCs w:val="24"/>
        </w:rPr>
        <w:tab/>
        <w:t>Delitos contra la Administración Pública. Delitos de los funcionarios públicos contra las garantías constitucionales. Atentados contra la autoridad, sus agentes y los funcionarios públicos.</w:t>
      </w:r>
    </w:p>
    <w:p w:rsidR="00341EDC" w:rsidRDefault="00341EDC" w:rsidP="00341EDC">
      <w:pPr>
        <w:pStyle w:val="Normal0"/>
        <w:spacing w:after="0" w:line="240" w:lineRule="auto"/>
        <w:jc w:val="both"/>
        <w:rPr>
          <w:rFonts w:ascii="Times New Roman" w:hAnsi="Times New Roman" w:cs="Times New Roman"/>
          <w:b/>
          <w:bCs/>
          <w:sz w:val="24"/>
          <w:szCs w:val="24"/>
        </w:rPr>
      </w:pPr>
    </w:p>
    <w:p w:rsidR="00341EDC" w:rsidRDefault="00341EDC" w:rsidP="00341EDC">
      <w:pPr>
        <w:pStyle w:val="Norm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 xml:space="preserve">d) Intervención y gestión económico-financiera local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79.-</w:t>
      </w:r>
      <w:r>
        <w:rPr>
          <w:rFonts w:ascii="Times New Roman" w:hAnsi="Times New Roman" w:cs="Times New Roman"/>
          <w:bCs/>
          <w:sz w:val="24"/>
          <w:szCs w:val="24"/>
        </w:rPr>
        <w:tab/>
        <w:t xml:space="preserve">La Hacienda Local en la Constitución. El régimen jurídico de las Haciendas locales: criterios inspiradores del sistema de recursos y principios presupuestarios. </w:t>
      </w:r>
      <w:r>
        <w:rPr>
          <w:rFonts w:ascii="Times New Roman" w:hAnsi="Times New Roman" w:cs="Times New Roman"/>
          <w:sz w:val="24"/>
          <w:szCs w:val="24"/>
        </w:rPr>
        <w:t xml:space="preserve">Principios de autonomía y suficiencia financiera.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80.-</w:t>
      </w:r>
      <w:r>
        <w:rPr>
          <w:rFonts w:ascii="Times New Roman" w:hAnsi="Times New Roman" w:cs="Times New Roman"/>
          <w:bCs/>
          <w:sz w:val="24"/>
          <w:szCs w:val="24"/>
        </w:rPr>
        <w:tab/>
        <w:t xml:space="preserve">Tasas y precios públicos. </w:t>
      </w:r>
      <w:proofErr w:type="gramStart"/>
      <w:r>
        <w:rPr>
          <w:rFonts w:ascii="Times New Roman" w:hAnsi="Times New Roman" w:cs="Times New Roman"/>
          <w:sz w:val="24"/>
          <w:szCs w:val="24"/>
        </w:rPr>
        <w:t>diferencias</w:t>
      </w:r>
      <w:proofErr w:type="gramEnd"/>
      <w:r>
        <w:rPr>
          <w:rFonts w:ascii="Times New Roman" w:hAnsi="Times New Roman" w:cs="Times New Roman"/>
          <w:sz w:val="24"/>
          <w:szCs w:val="24"/>
        </w:rPr>
        <w:t>, establecimiento y gestión</w:t>
      </w:r>
      <w:r>
        <w:rPr>
          <w:rFonts w:ascii="Times New Roman" w:hAnsi="Times New Roman" w:cs="Times New Roman"/>
          <w:bCs/>
          <w:sz w:val="24"/>
          <w:szCs w:val="24"/>
        </w:rPr>
        <w:t>. Las contribuciones especiales: anticipo y aplazamiento de cuotas y colaboración ciudadana.</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81.-</w:t>
      </w:r>
      <w:r>
        <w:rPr>
          <w:rFonts w:ascii="Times New Roman" w:hAnsi="Times New Roman" w:cs="Times New Roman"/>
          <w:bCs/>
          <w:sz w:val="24"/>
          <w:szCs w:val="24"/>
        </w:rPr>
        <w:tab/>
      </w:r>
      <w:r>
        <w:rPr>
          <w:rFonts w:ascii="Times New Roman" w:hAnsi="Times New Roman" w:cs="Times New Roman"/>
          <w:sz w:val="24"/>
          <w:szCs w:val="24"/>
        </w:rPr>
        <w:t xml:space="preserve">Clasificación de ingresos: tributarios y no tributarios. </w:t>
      </w:r>
      <w:r>
        <w:rPr>
          <w:rFonts w:ascii="Times New Roman" w:hAnsi="Times New Roman" w:cs="Times New Roman"/>
          <w:bCs/>
          <w:sz w:val="24"/>
          <w:szCs w:val="24"/>
        </w:rPr>
        <w:t>Los tributos locales: principios. La potestad reglamentaria de las Entidades Locales en materia tributaria: contenido de las ordenanzas fiscales, tramitación y régimen de impugnación de los actos de imposición y ordenación de tributos. El establecimiento de recursos no tributarios.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La relación jurídico-tributaria: hecho imponible, devengo, exenciones, sujetos, responsables y domicilio fiscal. Notificaciones tributarias. </w:t>
      </w:r>
      <w:r>
        <w:rPr>
          <w:rFonts w:ascii="Times New Roman" w:hAnsi="Times New Roman" w:cs="Times New Roman"/>
          <w:bCs/>
          <w:sz w:val="24"/>
          <w:szCs w:val="24"/>
        </w:rPr>
        <w:t xml:space="preserve">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82.-</w:t>
      </w:r>
      <w:r>
        <w:rPr>
          <w:rFonts w:ascii="Times New Roman" w:hAnsi="Times New Roman" w:cs="Times New Roman"/>
          <w:bCs/>
          <w:sz w:val="24"/>
          <w:szCs w:val="24"/>
        </w:rPr>
        <w:tab/>
        <w:t xml:space="preserve">La gestión, inspección y recaudación de los recursos de las Haciendas Locales. La revisión en vía administrativa de los actos de gestión tributaria dictados por las Entidades Locales, en municipios de régimen común y de gran población. La gestión y recaudación de recursos por cuenta de otros entes públicos.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83.-</w:t>
      </w:r>
      <w:r>
        <w:rPr>
          <w:rFonts w:ascii="Times New Roman" w:hAnsi="Times New Roman" w:cs="Times New Roman"/>
          <w:bCs/>
          <w:sz w:val="24"/>
          <w:szCs w:val="24"/>
        </w:rPr>
        <w:tab/>
        <w:t xml:space="preserve">El Impuesto sobre Bienes Inmuebles. Naturaleza. Hecho imponible. Sujeto pasivo. Exenciones y bonificaciones. Base imponible. Base liquidable. Cuota, devengo y período impositivo. Gestión catastral. Gestión tributaria. Inspección catastral.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84.-</w:t>
      </w:r>
      <w:r>
        <w:rPr>
          <w:rFonts w:ascii="Times New Roman" w:hAnsi="Times New Roman" w:cs="Times New Roman"/>
          <w:bCs/>
          <w:sz w:val="24"/>
          <w:szCs w:val="24"/>
        </w:rPr>
        <w:tab/>
        <w:t>El Impuesto sobre actividades económicas. Naturaleza. Hecho imponible. Sujeto pasivo. Exenciones. Cuota: las tarifas. Devengo y período impositivo. Gestión censal y gestión tributaria. El recargo provincial. El Impuesto sobre construcciones, instalaciones y obras.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TEMA 85.-</w:t>
      </w:r>
      <w:r>
        <w:rPr>
          <w:rFonts w:ascii="Times New Roman" w:hAnsi="Times New Roman" w:cs="Times New Roman"/>
          <w:bCs/>
          <w:sz w:val="24"/>
          <w:szCs w:val="24"/>
        </w:rPr>
        <w:tab/>
        <w:t xml:space="preserve">El Impuesto sobre vehículos de tracción mecánica. El impuesto sobre el incremento de valor de los terrenos de naturaleza urbana.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86.-</w:t>
      </w:r>
      <w:r>
        <w:rPr>
          <w:rFonts w:ascii="Times New Roman" w:hAnsi="Times New Roman" w:cs="Times New Roman"/>
          <w:bCs/>
          <w:sz w:val="24"/>
          <w:szCs w:val="24"/>
        </w:rPr>
        <w:tab/>
        <w:t xml:space="preserve">El Presupuesto General de las Entidades Locales: concepto, contenido y estructura. Especial referencia a las bases de ejecución del presupuesto. La elaboración y aprobación del Presupuesto General. La prórroga presupuestaria. Los créditos del presupuesto de gastos: delimitación, situación y niveles de vinculación jurídica. Las modificaciones de crédito: clases, concepto, financiación y tramitación.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87.-</w:t>
      </w:r>
      <w:r>
        <w:rPr>
          <w:rFonts w:ascii="Times New Roman" w:hAnsi="Times New Roman" w:cs="Times New Roman"/>
          <w:bCs/>
          <w:sz w:val="24"/>
          <w:szCs w:val="24"/>
        </w:rPr>
        <w:tab/>
        <w:t xml:space="preserve">La ejecución del presupuesto de gastos y de ingresos: sus fases. Los pagos a justificar. Los anticipos de caja fija. Los gastos de carácter plurianual. La tramitación anticipada de gastos. Los proyectos de gasto. Los gastos con financiación afectada: especial referencia a las desviaciones de financiación. </w:t>
      </w:r>
      <w:r>
        <w:rPr>
          <w:rFonts w:ascii="Times New Roman" w:hAnsi="Times New Roman" w:cs="Times New Roman"/>
          <w:sz w:val="24"/>
          <w:szCs w:val="24"/>
        </w:rPr>
        <w:t xml:space="preserve">Reconocimiento de obligaciones. Ordenación y pago.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88.-</w:t>
      </w:r>
      <w:r>
        <w:rPr>
          <w:rFonts w:ascii="Times New Roman" w:hAnsi="Times New Roman" w:cs="Times New Roman"/>
          <w:bCs/>
          <w:sz w:val="24"/>
          <w:szCs w:val="24"/>
        </w:rPr>
        <w:tab/>
        <w:t>La liquidación del presupuesto. Tramitación. Los remanentes de crédito. El resultado presupuestario: concepto, cálculo y ajustes. El remanente de tesorería: concepto y cálculo. Análisis del remanente de tesorería para gastos con financiación afectada y del remanente de tesorería para gastos generales. La consolidación presupuestaria.</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89.-</w:t>
      </w:r>
      <w:r>
        <w:rPr>
          <w:rFonts w:ascii="Times New Roman" w:hAnsi="Times New Roman" w:cs="Times New Roman"/>
          <w:bCs/>
          <w:sz w:val="24"/>
          <w:szCs w:val="24"/>
        </w:rPr>
        <w:tab/>
        <w:t xml:space="preserve">Estabilidad Presupuestaria y sostenibilidad financiera. Principios generales. Objetivos de estabilidad presupuestaria, de deuda pública y de la regla de gasto para las Corporaciones locales: establecimiento y consecuencias asociadas a su incumplimiento. Los Planes económico-financieros: contenido, tramitación y seguimiento. Planes de ajuste y de saneamiento financiero. Suministro de información financiera de las Entidades Locales.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TEMA 90.-</w:t>
      </w:r>
      <w:r>
        <w:rPr>
          <w:rFonts w:ascii="Times New Roman" w:hAnsi="Times New Roman" w:cs="Times New Roman"/>
          <w:bCs/>
          <w:sz w:val="24"/>
          <w:szCs w:val="24"/>
        </w:rPr>
        <w:tab/>
        <w:t>La tesorería de las Entidades Locales. Régimen jurídico. El principio de unidad de caja. La g</w:t>
      </w:r>
      <w:r>
        <w:rPr>
          <w:rFonts w:ascii="Times New Roman" w:hAnsi="Times New Roman" w:cs="Times New Roman"/>
          <w:sz w:val="24"/>
          <w:szCs w:val="24"/>
        </w:rPr>
        <w:t>estión de fondos, planificación y medios de pago. Arqueos y conciliaciones. Operaciones de tesorería.</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91.- Recaudación local: periodo voluntario y ejecutivo. Procedimiento de apremio. Embargos y garantías. Ingresos indebidos. </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TEMA 92.-</w:t>
      </w:r>
      <w:r>
        <w:rPr>
          <w:rFonts w:ascii="Times New Roman" w:hAnsi="Times New Roman" w:cs="Times New Roman"/>
          <w:bCs/>
          <w:sz w:val="24"/>
          <w:szCs w:val="24"/>
        </w:rPr>
        <w:tab/>
      </w:r>
      <w:r>
        <w:rPr>
          <w:rFonts w:ascii="Times New Roman" w:hAnsi="Times New Roman" w:cs="Times New Roman"/>
          <w:sz w:val="24"/>
          <w:szCs w:val="24"/>
        </w:rPr>
        <w:t xml:space="preserve">Contabilidad pública local: fines, principios y cuentas anuales. Cuenta general. Formación, aprobación y rendición.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93.-</w:t>
      </w:r>
      <w:r>
        <w:rPr>
          <w:rFonts w:ascii="Times New Roman" w:hAnsi="Times New Roman" w:cs="Times New Roman"/>
          <w:bCs/>
          <w:sz w:val="24"/>
          <w:szCs w:val="24"/>
        </w:rPr>
        <w:tab/>
        <w:t>El control interno de la actividad económico-financiera de las Entidades Locales y sus entes dependientes. La función interventora</w:t>
      </w:r>
      <w:r>
        <w:rPr>
          <w:rFonts w:ascii="Times New Roman" w:hAnsi="Times New Roman" w:cs="Times New Roman"/>
          <w:sz w:val="24"/>
          <w:szCs w:val="24"/>
        </w:rPr>
        <w:t xml:space="preserve">, control financiero y control de eficacia. Alcance, modalidades y resultados. </w:t>
      </w:r>
      <w:r>
        <w:rPr>
          <w:rFonts w:ascii="Times New Roman" w:hAnsi="Times New Roman" w:cs="Times New Roman"/>
          <w:bCs/>
          <w:sz w:val="24"/>
          <w:szCs w:val="24"/>
        </w:rPr>
        <w:t>Especial referencia a los reparos.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94.-</w:t>
      </w:r>
      <w:r>
        <w:rPr>
          <w:rFonts w:ascii="Times New Roman" w:hAnsi="Times New Roman" w:cs="Times New Roman"/>
          <w:bCs/>
          <w:sz w:val="24"/>
          <w:szCs w:val="24"/>
        </w:rPr>
        <w:tab/>
        <w:t>El control externo de la actividad económico-financiera del sector público local. La fiscalización de las entidades locales por el Tribunal de Cuentas y los órganos de control externo de las Comunidades Autónomas. Rendición de cuentas y responsabilidad contable: concepto y régimen jurídico.</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95.-</w:t>
      </w:r>
      <w:r>
        <w:rPr>
          <w:rFonts w:ascii="Times New Roman" w:hAnsi="Times New Roman" w:cs="Times New Roman"/>
          <w:bCs/>
          <w:sz w:val="24"/>
          <w:szCs w:val="24"/>
        </w:rPr>
        <w:tab/>
        <w:t xml:space="preserve">La gestión, liquidación y recaudación de los recursos de las Haciendas Locales. La devolución de ingresos indebidos. El procedimiento de recaudación en período voluntario y ejecutivo. La revisión en vía administrativa de los actos de gestión tributaria dictados por las Entidades Locales: </w:t>
      </w:r>
      <w:r>
        <w:rPr>
          <w:rFonts w:ascii="Times New Roman" w:hAnsi="Times New Roman" w:cs="Times New Roman"/>
          <w:sz w:val="24"/>
          <w:szCs w:val="24"/>
        </w:rPr>
        <w:t>recursos y procedimientos especiales</w:t>
      </w:r>
      <w:r>
        <w:rPr>
          <w:rFonts w:ascii="Times New Roman" w:hAnsi="Times New Roman" w:cs="Times New Roman"/>
          <w:bCs/>
          <w:sz w:val="24"/>
          <w:szCs w:val="24"/>
        </w:rPr>
        <w:t>. La gestión y recaudación de recursos por cuenta de otros entes públicos.</w:t>
      </w:r>
      <w:r>
        <w:rPr>
          <w:rFonts w:ascii="Times New Roman" w:hAnsi="Times New Roman" w:cs="Times New Roman"/>
          <w:sz w:val="24"/>
          <w:szCs w:val="24"/>
        </w:rPr>
        <w:t xml:space="preserve">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96.-</w:t>
      </w:r>
      <w:r>
        <w:rPr>
          <w:rFonts w:ascii="Times New Roman" w:hAnsi="Times New Roman" w:cs="Times New Roman"/>
          <w:bCs/>
          <w:sz w:val="24"/>
          <w:szCs w:val="24"/>
        </w:rPr>
        <w:tab/>
        <w:t>El Impuesto sobre el Valor Añadido. Naturaleza y ámbito de aplicación. Hecho imponible. Devengo. Exenciones. Sujetos pasivos y responsables: sus obligaciones. Base imponible. Tipos de gravamen. La regla de la prorrata. Deducciones y devoluciones. Regímenes especiales. Gestión del impuesto.</w:t>
      </w:r>
    </w:p>
    <w:p w:rsidR="00341EDC" w:rsidRDefault="00341EDC" w:rsidP="00341EDC">
      <w:pPr>
        <w:pStyle w:val="Normal0"/>
        <w:spacing w:after="0" w:line="240" w:lineRule="auto"/>
        <w:jc w:val="both"/>
        <w:rPr>
          <w:rFonts w:ascii="Times New Roman" w:hAnsi="Times New Roman" w:cs="Times New Roman"/>
          <w:bCs/>
          <w:sz w:val="24"/>
          <w:szCs w:val="24"/>
        </w:rPr>
      </w:pPr>
    </w:p>
    <w:p w:rsidR="00341EDC" w:rsidRDefault="00341EDC" w:rsidP="00341EDC">
      <w:pPr>
        <w:pStyle w:val="Norm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t>e) Urbanismo</w:t>
      </w:r>
    </w:p>
    <w:p w:rsidR="00341EDC" w:rsidRDefault="00341EDC" w:rsidP="00341EDC">
      <w:pPr>
        <w:pStyle w:val="Normal0"/>
        <w:spacing w:after="0" w:line="240" w:lineRule="auto"/>
        <w:jc w:val="both"/>
        <w:rPr>
          <w:rFonts w:ascii="Times New Roman" w:hAnsi="Times New Roman" w:cs="Times New Roman"/>
          <w:bCs/>
          <w:sz w:val="24"/>
          <w:szCs w:val="24"/>
        </w:rPr>
      </w:pP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TEMA 97.-</w:t>
      </w:r>
      <w:r>
        <w:rPr>
          <w:rFonts w:ascii="Times New Roman" w:hAnsi="Times New Roman" w:cs="Times New Roman"/>
          <w:bCs/>
          <w:sz w:val="24"/>
          <w:szCs w:val="24"/>
        </w:rPr>
        <w:tab/>
        <w:t>Régimen urbanístico de la propiedad del suelo. Clasificación del suelo. Suelo urbano, urbanizable y no urbanizable. Derechos y deberes de los propietarios. El régimen general de los artículos 115 y 116 de la Ley de Cantabria 5/2022, de 15 de julio y su incidencia en el planeamiento y gestión urbanística de Laredo.</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TEMA 98.-</w:t>
      </w:r>
      <w:r>
        <w:rPr>
          <w:rFonts w:ascii="Times New Roman" w:hAnsi="Times New Roman" w:cs="Times New Roman"/>
          <w:bCs/>
          <w:sz w:val="24"/>
          <w:szCs w:val="24"/>
        </w:rPr>
        <w:tab/>
        <w:t>Planes urbanísticos: concepto y valor normativo. Clases. Vigencia, modificación y revisión. La ordenación del territorio de la Comunidad de Cantabria. El Plan General de Ordenación Urbana. Objeto. Determinaciones. Contenido. Competencia. Procedimiento para su formulación y aprobación.</w:t>
      </w:r>
      <w:r>
        <w:rPr>
          <w:rFonts w:ascii="Times New Roman" w:hAnsi="Times New Roman" w:cs="Times New Roman"/>
          <w:sz w:val="24"/>
          <w:szCs w:val="24"/>
        </w:rPr>
        <w:t xml:space="preserve"> Planeamiento de desarrollo: planes parciales, planes especiales y otros instrumentos. Procedimiento de aprobación y revisión.</w:t>
      </w:r>
    </w:p>
    <w:p w:rsidR="00341EDC" w:rsidRDefault="00341EDC" w:rsidP="00341ED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TEMA 99.- Gestión urbanística: sistemas de actuación (compensación y cooperación). Reparcelación: nociones esenciales. Expropiación urbanística como sistema de actuación. Valoraciones. Ocupación y pago. Reversión.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100.-</w:t>
      </w:r>
      <w:r>
        <w:rPr>
          <w:rFonts w:ascii="Times New Roman" w:hAnsi="Times New Roman" w:cs="Times New Roman"/>
          <w:bCs/>
          <w:sz w:val="24"/>
          <w:szCs w:val="24"/>
        </w:rPr>
        <w:tab/>
        <w:t>Intervención en la edificación y uso del suelo: las licencias y declaraciones responsables. Autorizaciones previas de los actos de transformación, construcción, edificación y uso del suelo y subsuelo: Autorizaciones de construcciones, instalaciones y usos en suelo rústico y en suelo y subsuelo situados en servidumbre de protección del Dominio Público Marítimo Terrestre. S</w:t>
      </w:r>
      <w:r>
        <w:rPr>
          <w:rFonts w:ascii="Times New Roman" w:hAnsi="Times New Roman" w:cs="Times New Roman"/>
          <w:sz w:val="24"/>
          <w:szCs w:val="24"/>
        </w:rPr>
        <w:t xml:space="preserve">ilencio administrativo. Obras promovidas por AAPP. </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101.-</w:t>
      </w:r>
      <w:r>
        <w:rPr>
          <w:rFonts w:ascii="Times New Roman" w:hAnsi="Times New Roman" w:cs="Times New Roman"/>
          <w:bCs/>
          <w:sz w:val="24"/>
          <w:szCs w:val="24"/>
        </w:rPr>
        <w:tab/>
        <w:t>Disciplina urbanística. La protección de la legalidad urbanística. Competencias en el ejercicio de la inspección urbanística. Competencias de la Comunidad Autónoma. Infracciones urbanísticas, Sanciones urbanísticas. Régimen jurídico. El deber de conservación. La declaración de ruina.</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102.-</w:t>
      </w:r>
      <w:r>
        <w:rPr>
          <w:rFonts w:ascii="Times New Roman" w:hAnsi="Times New Roman" w:cs="Times New Roman"/>
          <w:bCs/>
          <w:sz w:val="24"/>
          <w:szCs w:val="24"/>
        </w:rPr>
        <w:tab/>
        <w:t>Convenios urbanísticos. Convenios de planeamiento. Convenios de gestión. La acción pública en materia urbanística. Acciones y recursos administrativos.</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103.-</w:t>
      </w:r>
      <w:r>
        <w:rPr>
          <w:rFonts w:ascii="Times New Roman" w:hAnsi="Times New Roman" w:cs="Times New Roman"/>
          <w:bCs/>
          <w:sz w:val="24"/>
          <w:szCs w:val="24"/>
        </w:rPr>
        <w:tab/>
        <w:t>El marco jurídico de Evaluación de Impacto Ambiental en Cantabria. Legislación básica y autonómica.  Tramitación de expedientes. Autorización ambiental integrada: objeto, contenido y procedimiento. Evaluación ambiental de planes y programas. Evaluación de impacto ambiental de proyectos, actividades e instalaciones. Régimen de Control e Inspección.</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104.-</w:t>
      </w:r>
      <w:r>
        <w:rPr>
          <w:rFonts w:ascii="Times New Roman" w:hAnsi="Times New Roman" w:cs="Times New Roman"/>
          <w:bCs/>
          <w:sz w:val="24"/>
          <w:szCs w:val="24"/>
        </w:rPr>
        <w:tab/>
        <w:t>Actividades Molestas, Insalubres, Nocivas y Peligrosas. Regulación después de la Ley de Cantabria 17/2006, de 11 de diciembre, de Control Ambiental Integrado. La comprobación ambiental, objeto y contenido, procedimiento de licencia y/o autorización. Control y Disciplina Ambiental, régimen de inspección y sanción.</w:t>
      </w:r>
    </w:p>
    <w:p w:rsidR="00341EDC" w:rsidRDefault="00341EDC" w:rsidP="00341EDC">
      <w:pPr>
        <w:pStyle w:val="Norm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TEMA 105.-</w:t>
      </w:r>
      <w:r>
        <w:rPr>
          <w:rFonts w:ascii="Times New Roman" w:hAnsi="Times New Roman" w:cs="Times New Roman"/>
          <w:bCs/>
          <w:sz w:val="24"/>
          <w:szCs w:val="24"/>
        </w:rPr>
        <w:tab/>
        <w:t>Ley de Cantabria 3/2017, de 5 de abril, de Espectáculos Públicos y Actividades Recreativas de Cantabria y Ley 37/2003, de 17 de noviembre, del ruido. Especial incidencia en el desarrollo de eventos y actividades en el municipio.</w:t>
      </w:r>
    </w:p>
    <w:p w:rsidR="00CC3147" w:rsidRDefault="00341EDC" w:rsidP="00341EDC">
      <w:r>
        <w:rPr>
          <w:rFonts w:ascii="Times New Roman" w:hAnsi="Times New Roman" w:cs="Times New Roman"/>
          <w:bCs/>
          <w:sz w:val="24"/>
          <w:szCs w:val="24"/>
        </w:rPr>
        <w:t>TEMA 106.-</w:t>
      </w:r>
      <w:r>
        <w:rPr>
          <w:rFonts w:ascii="Times New Roman" w:hAnsi="Times New Roman" w:cs="Times New Roman"/>
          <w:bCs/>
          <w:sz w:val="24"/>
          <w:szCs w:val="24"/>
        </w:rPr>
        <w:tab/>
        <w:t>Ley de Cantabria 11/1998, de 13 de octubre, de Patrimonio Cultural. Afecciones en el ámbito del casco Histórico y otros bienes protegidos en el Término Municipal de Laredo</w:t>
      </w:r>
    </w:p>
    <w:sectPr w:rsidR="00CC3147" w:rsidSect="00CC314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0A943AF6"/>
    <w:lvl w:ilvl="0" w:tplc="B36E069A">
      <w:start w:val="1"/>
      <w:numFmt w:val="lowerLetter"/>
      <w:lvlText w:val="%1)"/>
      <w:lvlJc w:val="left"/>
      <w:pPr>
        <w:ind w:left="720" w:hanging="360"/>
      </w:pPr>
    </w:lvl>
    <w:lvl w:ilvl="1" w:tplc="A81A726E">
      <w:start w:val="1"/>
      <w:numFmt w:val="decimal"/>
      <w:lvlText w:val="%2."/>
      <w:lvlJc w:val="left"/>
      <w:pPr>
        <w:tabs>
          <w:tab w:val="num" w:pos="1440"/>
        </w:tabs>
        <w:ind w:left="1440" w:hanging="360"/>
      </w:pPr>
    </w:lvl>
    <w:lvl w:ilvl="2" w:tplc="5E820414">
      <w:start w:val="1"/>
      <w:numFmt w:val="decimal"/>
      <w:lvlText w:val="%3."/>
      <w:lvlJc w:val="left"/>
      <w:pPr>
        <w:tabs>
          <w:tab w:val="num" w:pos="2160"/>
        </w:tabs>
        <w:ind w:left="2160" w:hanging="360"/>
      </w:pPr>
    </w:lvl>
    <w:lvl w:ilvl="3" w:tplc="AA98F5B6">
      <w:start w:val="1"/>
      <w:numFmt w:val="decimal"/>
      <w:lvlText w:val="%4."/>
      <w:lvlJc w:val="left"/>
      <w:pPr>
        <w:tabs>
          <w:tab w:val="num" w:pos="2880"/>
        </w:tabs>
        <w:ind w:left="2880" w:hanging="360"/>
      </w:pPr>
    </w:lvl>
    <w:lvl w:ilvl="4" w:tplc="D60C42E0">
      <w:start w:val="1"/>
      <w:numFmt w:val="decimal"/>
      <w:lvlText w:val="%5."/>
      <w:lvlJc w:val="left"/>
      <w:pPr>
        <w:tabs>
          <w:tab w:val="num" w:pos="3600"/>
        </w:tabs>
        <w:ind w:left="3600" w:hanging="360"/>
      </w:pPr>
    </w:lvl>
    <w:lvl w:ilvl="5" w:tplc="20720D0A">
      <w:start w:val="1"/>
      <w:numFmt w:val="decimal"/>
      <w:lvlText w:val="%6."/>
      <w:lvlJc w:val="left"/>
      <w:pPr>
        <w:tabs>
          <w:tab w:val="num" w:pos="4320"/>
        </w:tabs>
        <w:ind w:left="4320" w:hanging="360"/>
      </w:pPr>
    </w:lvl>
    <w:lvl w:ilvl="6" w:tplc="7AFA5C3E">
      <w:start w:val="1"/>
      <w:numFmt w:val="decimal"/>
      <w:lvlText w:val="%7."/>
      <w:lvlJc w:val="left"/>
      <w:pPr>
        <w:tabs>
          <w:tab w:val="num" w:pos="5040"/>
        </w:tabs>
        <w:ind w:left="5040" w:hanging="360"/>
      </w:pPr>
    </w:lvl>
    <w:lvl w:ilvl="7" w:tplc="433A667E">
      <w:start w:val="1"/>
      <w:numFmt w:val="decimal"/>
      <w:lvlText w:val="%8."/>
      <w:lvlJc w:val="left"/>
      <w:pPr>
        <w:tabs>
          <w:tab w:val="num" w:pos="5760"/>
        </w:tabs>
        <w:ind w:left="5760" w:hanging="360"/>
      </w:pPr>
    </w:lvl>
    <w:lvl w:ilvl="8" w:tplc="7640D6EA">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grammar="clean"/>
  <w:defaultTabStop w:val="708"/>
  <w:hyphenationZone w:val="425"/>
  <w:characterSpacingControl w:val="doNotCompress"/>
  <w:compat/>
  <w:rsids>
    <w:rsidRoot w:val="00341EDC"/>
    <w:rsid w:val="00003991"/>
    <w:rsid w:val="00341EDC"/>
    <w:rsid w:val="00355326"/>
    <w:rsid w:val="00517C63"/>
    <w:rsid w:val="007A5578"/>
    <w:rsid w:val="00943DE6"/>
    <w:rsid w:val="009C23F9"/>
    <w:rsid w:val="00B77535"/>
    <w:rsid w:val="00CC31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EDC"/>
    <w:pPr>
      <w:spacing w:after="160"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_0"/>
    <w:qFormat/>
    <w:rsid w:val="00341EDC"/>
    <w:pPr>
      <w:spacing w:after="160" w:line="259" w:lineRule="auto"/>
    </w:pPr>
  </w:style>
  <w:style w:type="paragraph" w:styleId="Prrafodelista">
    <w:name w:val="List Paragraph"/>
    <w:basedOn w:val="Normal0"/>
    <w:uiPriority w:val="34"/>
    <w:qFormat/>
    <w:rsid w:val="00341EDC"/>
    <w:pPr>
      <w:widowControl w:val="0"/>
      <w:autoSpaceDE w:val="0"/>
      <w:autoSpaceDN w:val="0"/>
      <w:spacing w:after="0" w:line="240" w:lineRule="auto"/>
      <w:ind w:left="1848" w:hanging="290"/>
      <w:jc w:val="both"/>
    </w:pPr>
    <w:rPr>
      <w:rFonts w:ascii="Verdana" w:eastAsia="Verdana" w:hAnsi="Verdana" w:cs="Verdan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4063</Words>
  <Characters>22348</Characters>
  <Application>Microsoft Office Word</Application>
  <DocSecurity>0</DocSecurity>
  <Lines>186</Lines>
  <Paragraphs>52</Paragraphs>
  <ScaleCrop>false</ScaleCrop>
  <Company>Microsoft</Company>
  <LinksUpToDate>false</LinksUpToDate>
  <CharactersWithSpaces>26359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dc:creator>
  <cp:lastModifiedBy>luis</cp:lastModifiedBy>
  <cp:revision>1</cp:revision>
  <dcterms:created xsi:type="dcterms:W3CDTF">2026-08-14T07:19:00Z</dcterms:created>
  <dcterms:modified xsi:type="dcterms:W3CDTF">2026-08-14T07:19:00Z</dcterms:modified>
</cp:coreProperties>
</file>